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4E26A" w14:textId="335EBDC5" w:rsidR="003B605C" w:rsidRDefault="003B605C">
      <w:pPr>
        <w:pStyle w:val="Textkrper"/>
        <w:spacing w:before="70" w:line="360" w:lineRule="auto"/>
        <w:ind w:left="1923" w:right="2943"/>
        <w:jc w:val="center"/>
      </w:pPr>
      <w:r>
        <w:rPr>
          <w:noProof/>
        </w:rPr>
        <w:drawing>
          <wp:inline distT="0" distB="0" distL="0" distR="0" wp14:anchorId="6BFD4FBF" wp14:editId="6FE948D9">
            <wp:extent cx="2400300" cy="714375"/>
            <wp:effectExtent l="0" t="0" r="0" b="9525"/>
            <wp:docPr id="16" name="Grafik 16" descr="Ein Bild, das Schrift, Text, Reihe, weiß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Ein Bild, das Schrift, Text, Reihe, weiß enthält.&#10;&#10;Automatisch generierte Beschreibung"/>
                    <pic:cNvPicPr/>
                  </pic:nvPicPr>
                  <pic:blipFill>
                    <a:blip r:embed="rId5"/>
                    <a:stretch>
                      <a:fillRect/>
                    </a:stretch>
                  </pic:blipFill>
                  <pic:spPr>
                    <a:xfrm>
                      <a:off x="0" y="0"/>
                      <a:ext cx="2400300" cy="714375"/>
                    </a:xfrm>
                    <a:prstGeom prst="rect">
                      <a:avLst/>
                    </a:prstGeom>
                  </pic:spPr>
                </pic:pic>
              </a:graphicData>
            </a:graphic>
          </wp:inline>
        </w:drawing>
      </w:r>
    </w:p>
    <w:p w14:paraId="07BDF81C" w14:textId="0B88FF40" w:rsidR="0080082A" w:rsidRPr="007446F1" w:rsidRDefault="00000000">
      <w:pPr>
        <w:pStyle w:val="Textkrper"/>
        <w:spacing w:before="70" w:line="360" w:lineRule="auto"/>
        <w:ind w:left="1923" w:right="2943"/>
        <w:jc w:val="center"/>
        <w:rPr>
          <w:rFonts w:ascii="Arial MT" w:hAnsi="Arial MT"/>
          <w:b w:val="0"/>
          <w:sz w:val="20"/>
          <w:szCs w:val="20"/>
        </w:rPr>
      </w:pPr>
      <w:r>
        <w:t xml:space="preserve">Seminar Gymnasium und Gesamtschule Leistungskonzept des Seminars Gy/Ge am </w:t>
      </w:r>
      <w:proofErr w:type="spellStart"/>
      <w:r>
        <w:t>ZfsL</w:t>
      </w:r>
      <w:proofErr w:type="spellEnd"/>
      <w:r>
        <w:t xml:space="preserve"> Köln Konkretion</w:t>
      </w:r>
      <w:r>
        <w:rPr>
          <w:spacing w:val="-8"/>
        </w:rPr>
        <w:t xml:space="preserve"> </w:t>
      </w:r>
      <w:r>
        <w:t>für</w:t>
      </w:r>
      <w:r>
        <w:rPr>
          <w:spacing w:val="-7"/>
        </w:rPr>
        <w:t xml:space="preserve"> </w:t>
      </w:r>
      <w:r>
        <w:t>das</w:t>
      </w:r>
      <w:r>
        <w:rPr>
          <w:spacing w:val="-7"/>
        </w:rPr>
        <w:t xml:space="preserve"> </w:t>
      </w:r>
      <w:r>
        <w:t>Fach</w:t>
      </w:r>
      <w:r>
        <w:rPr>
          <w:spacing w:val="-5"/>
        </w:rPr>
        <w:t xml:space="preserve"> </w:t>
      </w:r>
      <w:r>
        <w:t>Französisch</w:t>
      </w:r>
      <w:r>
        <w:rPr>
          <w:spacing w:val="-5"/>
        </w:rPr>
        <w:t xml:space="preserve"> </w:t>
      </w:r>
      <w:r w:rsidRPr="007446F1">
        <w:rPr>
          <w:rFonts w:ascii="Arial MT" w:hAnsi="Arial MT"/>
          <w:b w:val="0"/>
          <w:sz w:val="20"/>
          <w:szCs w:val="20"/>
        </w:rPr>
        <w:t>(Stand</w:t>
      </w:r>
      <w:r w:rsidRPr="007446F1">
        <w:rPr>
          <w:rFonts w:ascii="Arial MT" w:hAnsi="Arial MT"/>
          <w:b w:val="0"/>
          <w:spacing w:val="-7"/>
          <w:sz w:val="20"/>
          <w:szCs w:val="20"/>
        </w:rPr>
        <w:t xml:space="preserve"> </w:t>
      </w:r>
      <w:r w:rsidRPr="007446F1">
        <w:rPr>
          <w:rFonts w:ascii="Arial MT" w:hAnsi="Arial MT"/>
          <w:b w:val="0"/>
          <w:sz w:val="20"/>
          <w:szCs w:val="20"/>
        </w:rPr>
        <w:t>2</w:t>
      </w:r>
      <w:r w:rsidR="004A648F">
        <w:rPr>
          <w:rFonts w:ascii="Arial MT" w:hAnsi="Arial MT"/>
          <w:b w:val="0"/>
          <w:sz w:val="20"/>
          <w:szCs w:val="20"/>
        </w:rPr>
        <w:t>6</w:t>
      </w:r>
      <w:r w:rsidRPr="007446F1">
        <w:rPr>
          <w:rFonts w:ascii="Arial MT" w:hAnsi="Arial MT"/>
          <w:b w:val="0"/>
          <w:sz w:val="20"/>
          <w:szCs w:val="20"/>
        </w:rPr>
        <w:t>.</w:t>
      </w:r>
      <w:r w:rsidR="007446F1" w:rsidRPr="007446F1">
        <w:rPr>
          <w:rFonts w:ascii="Arial MT" w:hAnsi="Arial MT"/>
          <w:b w:val="0"/>
          <w:sz w:val="20"/>
          <w:szCs w:val="20"/>
        </w:rPr>
        <w:t>10</w:t>
      </w:r>
      <w:r w:rsidRPr="007446F1">
        <w:rPr>
          <w:rFonts w:ascii="Arial MT" w:hAnsi="Arial MT"/>
          <w:b w:val="0"/>
          <w:sz w:val="20"/>
          <w:szCs w:val="20"/>
        </w:rPr>
        <w:t>.202</w:t>
      </w:r>
      <w:r w:rsidR="007446F1" w:rsidRPr="007446F1">
        <w:rPr>
          <w:rFonts w:ascii="Arial MT" w:hAnsi="Arial MT"/>
          <w:b w:val="0"/>
          <w:sz w:val="20"/>
          <w:szCs w:val="20"/>
        </w:rPr>
        <w:t>3</w:t>
      </w:r>
      <w:r w:rsidRPr="007446F1">
        <w:rPr>
          <w:rFonts w:ascii="Arial MT" w:hAnsi="Arial MT"/>
          <w:b w:val="0"/>
          <w:sz w:val="20"/>
          <w:szCs w:val="20"/>
        </w:rPr>
        <w:t>)</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12"/>
      </w:tblGrid>
      <w:tr w:rsidR="0080082A" w14:paraId="4FAEADA8" w14:textId="77777777" w:rsidTr="005016C5">
        <w:trPr>
          <w:trHeight w:val="445"/>
        </w:trPr>
        <w:tc>
          <w:tcPr>
            <w:tcW w:w="10312" w:type="dxa"/>
          </w:tcPr>
          <w:p w14:paraId="1DE4055E" w14:textId="5BAA14B5" w:rsidR="005016C5" w:rsidRPr="005016C5" w:rsidRDefault="00000000" w:rsidP="005016C5">
            <w:pPr>
              <w:pStyle w:val="TableParagraph"/>
              <w:spacing w:before="46"/>
              <w:jc w:val="left"/>
              <w:rPr>
                <w:rFonts w:ascii="Arial"/>
                <w:b/>
                <w:color w:val="385522"/>
                <w:spacing w:val="-2"/>
                <w:sz w:val="26"/>
              </w:rPr>
            </w:pPr>
            <w:r>
              <w:rPr>
                <w:rFonts w:ascii="Arial"/>
                <w:b/>
                <w:color w:val="385522"/>
                <w:spacing w:val="-2"/>
                <w:sz w:val="26"/>
              </w:rPr>
              <w:t>Beurteilungsbereich</w:t>
            </w:r>
            <w:r>
              <w:rPr>
                <w:rFonts w:ascii="Arial"/>
                <w:b/>
                <w:color w:val="385522"/>
                <w:spacing w:val="14"/>
                <w:sz w:val="26"/>
              </w:rPr>
              <w:t xml:space="preserve"> </w:t>
            </w:r>
            <w:r>
              <w:rPr>
                <w:rFonts w:ascii="Arial"/>
                <w:b/>
                <w:color w:val="385522"/>
                <w:spacing w:val="-2"/>
                <w:sz w:val="26"/>
              </w:rPr>
              <w:t>Unterrichtsbesuche</w:t>
            </w:r>
          </w:p>
        </w:tc>
      </w:tr>
      <w:tr w:rsidR="0080082A" w14:paraId="580B6741" w14:textId="77777777" w:rsidTr="005016C5">
        <w:trPr>
          <w:trHeight w:val="4403"/>
        </w:trPr>
        <w:tc>
          <w:tcPr>
            <w:tcW w:w="10312" w:type="dxa"/>
          </w:tcPr>
          <w:p w14:paraId="7B48DCF2" w14:textId="77777777" w:rsidR="0080082A" w:rsidRDefault="00000000">
            <w:pPr>
              <w:pStyle w:val="TableParagraph"/>
              <w:spacing w:before="2" w:line="360" w:lineRule="auto"/>
              <w:ind w:right="100"/>
            </w:pPr>
            <w:r>
              <w:t xml:space="preserve">Zusätzlich zu den Vorgaben am Seminar Köln </w:t>
            </w:r>
            <w:proofErr w:type="spellStart"/>
            <w:r>
              <w:t>GyGe</w:t>
            </w:r>
            <w:proofErr w:type="spellEnd"/>
            <w:r>
              <w:t xml:space="preserve"> gilt für Französisch folgende fachspezifische </w:t>
            </w:r>
            <w:r>
              <w:rPr>
                <w:spacing w:val="-2"/>
              </w:rPr>
              <w:t>Konkretisierung:</w:t>
            </w:r>
          </w:p>
          <w:p w14:paraId="355124BA" w14:textId="0B911672" w:rsidR="0080082A" w:rsidRDefault="00000000">
            <w:pPr>
              <w:pStyle w:val="TableParagraph"/>
              <w:spacing w:line="360" w:lineRule="auto"/>
              <w:ind w:right="95"/>
            </w:pPr>
            <w:r>
              <w:t xml:space="preserve">Mindestens </w:t>
            </w:r>
            <w:r>
              <w:rPr>
                <w:rFonts w:ascii="Arial" w:hAnsi="Arial"/>
                <w:b/>
              </w:rPr>
              <w:t xml:space="preserve">zwei </w:t>
            </w:r>
            <w:r>
              <w:t xml:space="preserve">Unterrichtsbesuche sollten in der </w:t>
            </w:r>
            <w:r>
              <w:rPr>
                <w:rFonts w:ascii="Arial" w:hAnsi="Arial"/>
                <w:b/>
              </w:rPr>
              <w:t xml:space="preserve">SII </w:t>
            </w:r>
            <w:r>
              <w:t xml:space="preserve">(sowohl Q1/Q2 als auch EF) stattfinden. In der Regel sollte davon einmal ein Leistungskurs gezeigt werden (sofern an Ihrer Ausbildungsschule vorhanden). Achten Sie bei der Festlegung von Themen und Zielen der gezeigten Stunden auf </w:t>
            </w:r>
            <w:r w:rsidR="005016C5">
              <w:t>eine breite</w:t>
            </w:r>
            <w:r>
              <w:t xml:space="preserve"> Abdeckung des </w:t>
            </w:r>
            <w:r>
              <w:rPr>
                <w:rFonts w:ascii="Arial" w:hAnsi="Arial"/>
                <w:b/>
              </w:rPr>
              <w:t xml:space="preserve">Spektrums der Kompetenzen </w:t>
            </w:r>
            <w:r>
              <w:t xml:space="preserve">(cf. </w:t>
            </w:r>
            <w:r>
              <w:rPr>
                <w:rFonts w:ascii="Arial" w:hAnsi="Arial"/>
                <w:i/>
              </w:rPr>
              <w:t xml:space="preserve">Kernlehrplan Französisch S I, </w:t>
            </w:r>
            <w:r>
              <w:t>2019, S.15). Insbesondere</w:t>
            </w:r>
            <w:r w:rsidR="005016C5">
              <w:t xml:space="preserve"> empfehlen wir</w:t>
            </w:r>
            <w:r>
              <w:t xml:space="preserve"> </w:t>
            </w:r>
            <w:r w:rsidR="005016C5">
              <w:t>(</w:t>
            </w:r>
            <w:r>
              <w:t>als Vorbereitung auf die Abiturformate</w:t>
            </w:r>
            <w:r w:rsidR="005016C5">
              <w:t>)</w:t>
            </w:r>
            <w:r>
              <w:t xml:space="preserve"> Stunden zur Förderung des </w:t>
            </w:r>
            <w:r>
              <w:rPr>
                <w:rFonts w:ascii="Arial" w:hAnsi="Arial"/>
                <w:b/>
              </w:rPr>
              <w:t xml:space="preserve">Hörverstehens </w:t>
            </w:r>
            <w:r>
              <w:t xml:space="preserve">und der </w:t>
            </w:r>
            <w:r>
              <w:rPr>
                <w:rFonts w:ascii="Arial" w:hAnsi="Arial"/>
                <w:b/>
              </w:rPr>
              <w:t xml:space="preserve">Sprachmittlung </w:t>
            </w:r>
            <w:r>
              <w:t>(jeweils Vermittlung der relevanten Strategien)</w:t>
            </w:r>
            <w:r w:rsidR="005016C5">
              <w:t xml:space="preserve">. </w:t>
            </w:r>
            <w:r>
              <w:t xml:space="preserve">Ein UB (in der SII) sollte die Kompetenzen Ihres Kurses im Bereich </w:t>
            </w:r>
            <w:r>
              <w:rPr>
                <w:rFonts w:ascii="Arial" w:hAnsi="Arial"/>
                <w:b/>
              </w:rPr>
              <w:t>"Umgang mit</w:t>
            </w:r>
            <w:r>
              <w:rPr>
                <w:rFonts w:ascii="Arial" w:hAnsi="Arial"/>
                <w:b/>
                <w:spacing w:val="-1"/>
              </w:rPr>
              <w:t xml:space="preserve"> </w:t>
            </w:r>
            <w:r>
              <w:rPr>
                <w:rFonts w:ascii="Arial" w:hAnsi="Arial"/>
                <w:b/>
              </w:rPr>
              <w:t xml:space="preserve">Texten und Medien" </w:t>
            </w:r>
            <w:r>
              <w:t>erweitern. In Verbindung mit diesem UB sollte ein längeres Auswertungsgespräch (Erreichen des AFB III, ca. 10') mit Ihnen als Moderator/in gezeigt werden.</w:t>
            </w:r>
          </w:p>
          <w:p w14:paraId="25AF7AEC" w14:textId="5816BD86" w:rsidR="0080082A" w:rsidRDefault="0080082A" w:rsidP="005016C5">
            <w:pPr>
              <w:pStyle w:val="TableParagraph"/>
              <w:spacing w:line="252" w:lineRule="exact"/>
              <w:ind w:left="0"/>
              <w:jc w:val="left"/>
            </w:pPr>
          </w:p>
        </w:tc>
      </w:tr>
    </w:tbl>
    <w:p w14:paraId="4885194E" w14:textId="77777777" w:rsidR="0080082A" w:rsidRDefault="0080082A">
      <w:pPr>
        <w:rPr>
          <w:sz w:val="20"/>
        </w:rPr>
      </w:pPr>
    </w:p>
    <w:p w14:paraId="3528A65E" w14:textId="77777777" w:rsidR="0080082A" w:rsidRDefault="0080082A">
      <w:pPr>
        <w:spacing w:before="9" w:after="1"/>
        <w:rPr>
          <w:sz w:val="13"/>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27"/>
      </w:tblGrid>
      <w:tr w:rsidR="0080082A" w14:paraId="0E3875B7" w14:textId="77777777">
        <w:trPr>
          <w:trHeight w:val="537"/>
        </w:trPr>
        <w:tc>
          <w:tcPr>
            <w:tcW w:w="10327" w:type="dxa"/>
          </w:tcPr>
          <w:p w14:paraId="7383469A" w14:textId="77777777" w:rsidR="0080082A" w:rsidRDefault="00000000">
            <w:pPr>
              <w:pStyle w:val="TableParagraph"/>
              <w:spacing w:before="44"/>
              <w:jc w:val="left"/>
              <w:rPr>
                <w:rFonts w:ascii="Arial" w:hAnsi="Arial"/>
                <w:b/>
                <w:sz w:val="26"/>
              </w:rPr>
            </w:pPr>
            <w:r>
              <w:rPr>
                <w:rFonts w:ascii="Arial" w:hAnsi="Arial"/>
                <w:b/>
                <w:color w:val="385522"/>
                <w:spacing w:val="-2"/>
                <w:sz w:val="26"/>
              </w:rPr>
              <w:t>Beurteilungsbereich</w:t>
            </w:r>
            <w:r>
              <w:rPr>
                <w:rFonts w:ascii="Arial" w:hAnsi="Arial"/>
                <w:b/>
                <w:color w:val="385522"/>
                <w:spacing w:val="15"/>
                <w:sz w:val="26"/>
              </w:rPr>
              <w:t xml:space="preserve"> </w:t>
            </w:r>
            <w:r>
              <w:rPr>
                <w:rFonts w:ascii="Arial" w:hAnsi="Arial"/>
                <w:b/>
                <w:color w:val="385522"/>
                <w:spacing w:val="-2"/>
                <w:sz w:val="26"/>
              </w:rPr>
              <w:t>Außerunterrichtliche</w:t>
            </w:r>
            <w:r>
              <w:rPr>
                <w:rFonts w:ascii="Arial" w:hAnsi="Arial"/>
                <w:b/>
                <w:color w:val="385522"/>
                <w:spacing w:val="16"/>
                <w:sz w:val="26"/>
              </w:rPr>
              <w:t xml:space="preserve"> </w:t>
            </w:r>
            <w:r>
              <w:rPr>
                <w:rFonts w:ascii="Arial" w:hAnsi="Arial"/>
                <w:b/>
                <w:color w:val="385522"/>
                <w:spacing w:val="-2"/>
                <w:sz w:val="26"/>
              </w:rPr>
              <w:t>Aktivitäten</w:t>
            </w:r>
          </w:p>
        </w:tc>
      </w:tr>
      <w:tr w:rsidR="0080082A" w14:paraId="0EFD00BC" w14:textId="77777777">
        <w:trPr>
          <w:trHeight w:val="378"/>
        </w:trPr>
        <w:tc>
          <w:tcPr>
            <w:tcW w:w="10327" w:type="dxa"/>
          </w:tcPr>
          <w:p w14:paraId="27089305" w14:textId="77777777" w:rsidR="0080082A" w:rsidRDefault="00000000">
            <w:pPr>
              <w:pStyle w:val="TableParagraph"/>
              <w:ind w:left="170"/>
              <w:jc w:val="left"/>
            </w:pPr>
            <w:r>
              <w:t>s.</w:t>
            </w:r>
            <w:r>
              <w:rPr>
                <w:spacing w:val="-5"/>
              </w:rPr>
              <w:t xml:space="preserve"> </w:t>
            </w:r>
            <w:r>
              <w:t>Angaben</w:t>
            </w:r>
            <w:r>
              <w:rPr>
                <w:spacing w:val="-4"/>
              </w:rPr>
              <w:t xml:space="preserve"> </w:t>
            </w:r>
            <w:r>
              <w:rPr>
                <w:spacing w:val="-2"/>
              </w:rPr>
              <w:t>Gesamtkonzept</w:t>
            </w:r>
          </w:p>
        </w:tc>
      </w:tr>
    </w:tbl>
    <w:p w14:paraId="1B11DE94" w14:textId="77777777" w:rsidR="0080082A" w:rsidRDefault="0080082A">
      <w:pPr>
        <w:rPr>
          <w:sz w:val="20"/>
        </w:rPr>
      </w:pPr>
    </w:p>
    <w:p w14:paraId="179482AC" w14:textId="77777777" w:rsidR="0080082A" w:rsidRDefault="0080082A">
      <w:pPr>
        <w:spacing w:before="10"/>
        <w:rPr>
          <w:sz w:val="13"/>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27"/>
      </w:tblGrid>
      <w:tr w:rsidR="0080082A" w14:paraId="57C64739" w14:textId="77777777">
        <w:trPr>
          <w:trHeight w:val="590"/>
        </w:trPr>
        <w:tc>
          <w:tcPr>
            <w:tcW w:w="10327" w:type="dxa"/>
          </w:tcPr>
          <w:p w14:paraId="3765CF16" w14:textId="77777777" w:rsidR="0080082A" w:rsidRDefault="00000000">
            <w:pPr>
              <w:pStyle w:val="TableParagraph"/>
              <w:spacing w:before="70"/>
              <w:jc w:val="left"/>
              <w:rPr>
                <w:rFonts w:ascii="Arial" w:hAnsi="Arial"/>
                <w:b/>
                <w:sz w:val="26"/>
              </w:rPr>
            </w:pPr>
            <w:r>
              <w:rPr>
                <w:rFonts w:ascii="Arial" w:hAnsi="Arial"/>
                <w:b/>
                <w:color w:val="385522"/>
                <w:sz w:val="26"/>
              </w:rPr>
              <w:t>Beurteilungsbereich</w:t>
            </w:r>
            <w:r>
              <w:rPr>
                <w:rFonts w:ascii="Arial" w:hAnsi="Arial"/>
                <w:b/>
                <w:color w:val="385522"/>
                <w:spacing w:val="-14"/>
                <w:sz w:val="26"/>
              </w:rPr>
              <w:t xml:space="preserve"> </w:t>
            </w:r>
            <w:r>
              <w:rPr>
                <w:rFonts w:ascii="Arial" w:hAnsi="Arial"/>
                <w:b/>
                <w:color w:val="385522"/>
                <w:sz w:val="26"/>
              </w:rPr>
              <w:t>Fachseminar</w:t>
            </w:r>
            <w:r>
              <w:rPr>
                <w:rFonts w:ascii="Arial" w:hAnsi="Arial"/>
                <w:b/>
                <w:color w:val="385522"/>
                <w:spacing w:val="-14"/>
                <w:sz w:val="26"/>
              </w:rPr>
              <w:t xml:space="preserve"> </w:t>
            </w:r>
            <w:r>
              <w:rPr>
                <w:rFonts w:ascii="Arial" w:hAnsi="Arial"/>
                <w:b/>
                <w:color w:val="385522"/>
                <w:sz w:val="26"/>
              </w:rPr>
              <w:t>und</w:t>
            </w:r>
            <w:r>
              <w:rPr>
                <w:rFonts w:ascii="Arial" w:hAnsi="Arial"/>
                <w:b/>
                <w:color w:val="385522"/>
                <w:spacing w:val="-12"/>
                <w:sz w:val="26"/>
              </w:rPr>
              <w:t xml:space="preserve"> </w:t>
            </w:r>
            <w:r>
              <w:rPr>
                <w:rFonts w:ascii="Arial" w:hAnsi="Arial"/>
                <w:b/>
                <w:color w:val="385522"/>
                <w:sz w:val="26"/>
              </w:rPr>
              <w:t>Sonstige</w:t>
            </w:r>
            <w:r>
              <w:rPr>
                <w:rFonts w:ascii="Arial" w:hAnsi="Arial"/>
                <w:b/>
                <w:color w:val="385522"/>
                <w:spacing w:val="-12"/>
                <w:sz w:val="26"/>
              </w:rPr>
              <w:t xml:space="preserve"> </w:t>
            </w:r>
            <w:r>
              <w:rPr>
                <w:rFonts w:ascii="Arial" w:hAnsi="Arial"/>
                <w:b/>
                <w:color w:val="385522"/>
                <w:spacing w:val="-2"/>
                <w:sz w:val="26"/>
              </w:rPr>
              <w:t>Ausbildungszusammenhänge</w:t>
            </w:r>
          </w:p>
        </w:tc>
      </w:tr>
      <w:tr w:rsidR="0080082A" w14:paraId="25AC06F7" w14:textId="77777777">
        <w:trPr>
          <w:trHeight w:val="5736"/>
        </w:trPr>
        <w:tc>
          <w:tcPr>
            <w:tcW w:w="10327" w:type="dxa"/>
          </w:tcPr>
          <w:p w14:paraId="6CA73371" w14:textId="7F4014E9" w:rsidR="0080082A" w:rsidRDefault="00000000">
            <w:pPr>
              <w:pStyle w:val="TableParagraph"/>
              <w:numPr>
                <w:ilvl w:val="0"/>
                <w:numId w:val="1"/>
              </w:numPr>
              <w:tabs>
                <w:tab w:val="left" w:pos="827"/>
              </w:tabs>
              <w:spacing w:line="357" w:lineRule="auto"/>
              <w:ind w:right="95"/>
            </w:pPr>
            <w:r>
              <w:t xml:space="preserve">Aus dem </w:t>
            </w:r>
            <w:r>
              <w:rPr>
                <w:rFonts w:ascii="Arial" w:hAnsi="Arial"/>
                <w:b/>
              </w:rPr>
              <w:t xml:space="preserve">1. Quartal des SU </w:t>
            </w:r>
            <w:r>
              <w:t xml:space="preserve">(1. oder 2. Arbeit/Klausur) ein </w:t>
            </w:r>
            <w:r>
              <w:rPr>
                <w:rFonts w:ascii="Arial" w:hAnsi="Arial"/>
                <w:b/>
              </w:rPr>
              <w:t>Beispiel einer schriftlichen Leistungsbeurteilung</w:t>
            </w:r>
            <w:r>
              <w:t>, z.B. eine Klassenarbeit (SI) oder Klausur (SII) mit Aufgaben, Bewertungsraster (</w:t>
            </w:r>
            <w:proofErr w:type="spellStart"/>
            <w:r>
              <w:t>fiche</w:t>
            </w:r>
            <w:proofErr w:type="spellEnd"/>
            <w:r w:rsidR="00435E53">
              <w:t xml:space="preserve"> </w:t>
            </w:r>
            <w:proofErr w:type="spellStart"/>
            <w:r>
              <w:t>d'évaluation</w:t>
            </w:r>
            <w:proofErr w:type="spellEnd"/>
            <w:r>
              <w:t>) (SI)</w:t>
            </w:r>
            <w:r w:rsidR="005016C5">
              <w:t xml:space="preserve">, </w:t>
            </w:r>
            <w:r>
              <w:t>bzw.</w:t>
            </w:r>
            <w:r w:rsidR="005016C5">
              <w:t>,</w:t>
            </w:r>
            <w:r>
              <w:rPr>
                <w:spacing w:val="40"/>
              </w:rPr>
              <w:t xml:space="preserve"> </w:t>
            </w:r>
            <w:r>
              <w:t>Erwartungshorizont (SII) und Kopie dreier bewerteter Schülerarbeiten unterschiedlicher Notenbereiche (gut / mittel / schwach).</w:t>
            </w:r>
          </w:p>
          <w:p w14:paraId="656D58CE" w14:textId="77777777" w:rsidR="0080082A" w:rsidRDefault="00000000">
            <w:pPr>
              <w:pStyle w:val="TableParagraph"/>
              <w:numPr>
                <w:ilvl w:val="0"/>
                <w:numId w:val="1"/>
              </w:numPr>
              <w:tabs>
                <w:tab w:val="left" w:pos="827"/>
              </w:tabs>
              <w:spacing w:line="360" w:lineRule="auto"/>
              <w:ind w:right="96"/>
            </w:pPr>
            <w:r>
              <w:rPr>
                <w:rFonts w:ascii="Arial" w:hAnsi="Arial"/>
                <w:b/>
              </w:rPr>
              <w:t xml:space="preserve">Dokumentation eines Unterrichtsvorhabens i.d.R. zu Ihrem 4. UB </w:t>
            </w:r>
            <w:r>
              <w:t xml:space="preserve">unter dem Aspekt der regelmäßigen Rückmeldung zum Lernfortschritt und der Leistungsbewertung (Eingangsdiagnose, kontinuierliche Rückmeldung zum Lernfortschritt anhand verschiedener Methoden wie Selbstkontrolle mittels Lösungsblatt, Partnerkorrektur, Schreibkonferenz, Rückmeldebogen, … und Überprüfung des Lernfortschritts/Leistungsmessung am Ende des UV mit </w:t>
            </w:r>
            <w:proofErr w:type="spellStart"/>
            <w:r>
              <w:rPr>
                <w:rFonts w:ascii="Arial" w:hAnsi="Arial"/>
                <w:i/>
              </w:rPr>
              <w:t>fiche</w:t>
            </w:r>
            <w:proofErr w:type="spellEnd"/>
            <w:r>
              <w:rPr>
                <w:rFonts w:ascii="Arial" w:hAnsi="Arial"/>
                <w:i/>
              </w:rPr>
              <w:t xml:space="preserve"> </w:t>
            </w:r>
            <w:proofErr w:type="spellStart"/>
            <w:r>
              <w:rPr>
                <w:rFonts w:ascii="Arial" w:hAnsi="Arial"/>
                <w:i/>
              </w:rPr>
              <w:t>d’évaluation</w:t>
            </w:r>
            <w:proofErr w:type="spellEnd"/>
            <w:r>
              <w:rPr>
                <w:rFonts w:ascii="Arial" w:hAnsi="Arial"/>
                <w:i/>
              </w:rPr>
              <w:t xml:space="preserve"> </w:t>
            </w:r>
            <w:r>
              <w:t>bzw. Erwartungshorizont). Es sollte dabei auch deutlich werden, inwieweit die Ergebnisse der Eingangsdiagnose und der kontinuierlichen Rückmeldungen zum Lernfort- schritt Ihre</w:t>
            </w:r>
            <w:r>
              <w:rPr>
                <w:spacing w:val="-1"/>
              </w:rPr>
              <w:t xml:space="preserve"> </w:t>
            </w:r>
            <w:r>
              <w:t>Reihenplanung</w:t>
            </w:r>
            <w:r>
              <w:rPr>
                <w:spacing w:val="-1"/>
              </w:rPr>
              <w:t xml:space="preserve"> </w:t>
            </w:r>
            <w:r>
              <w:t>beeinflussen</w:t>
            </w:r>
            <w:r>
              <w:rPr>
                <w:spacing w:val="-2"/>
              </w:rPr>
              <w:t xml:space="preserve"> </w:t>
            </w:r>
            <w:r>
              <w:t>(z.B. notwendige</w:t>
            </w:r>
            <w:r>
              <w:rPr>
                <w:spacing w:val="-2"/>
              </w:rPr>
              <w:t xml:space="preserve"> </w:t>
            </w:r>
            <w:r>
              <w:t>Abänderungen,</w:t>
            </w:r>
            <w:r>
              <w:rPr>
                <w:spacing w:val="-3"/>
              </w:rPr>
              <w:t xml:space="preserve"> </w:t>
            </w:r>
            <w:r>
              <w:t>um den</w:t>
            </w:r>
            <w:r>
              <w:rPr>
                <w:spacing w:val="-1"/>
              </w:rPr>
              <w:t xml:space="preserve"> </w:t>
            </w:r>
            <w:r>
              <w:t>Lernerfolg</w:t>
            </w:r>
            <w:r>
              <w:rPr>
                <w:spacing w:val="-1"/>
              </w:rPr>
              <w:t xml:space="preserve"> </w:t>
            </w:r>
            <w:r>
              <w:t xml:space="preserve">der </w:t>
            </w:r>
            <w:proofErr w:type="spellStart"/>
            <w:r>
              <w:t>SuS</w:t>
            </w:r>
            <w:proofErr w:type="spellEnd"/>
            <w:r>
              <w:t xml:space="preserve"> zu unterstützen).</w:t>
            </w:r>
          </w:p>
          <w:p w14:paraId="2EF4C043" w14:textId="77777777" w:rsidR="0080082A" w:rsidRDefault="00000000">
            <w:pPr>
              <w:pStyle w:val="TableParagraph"/>
              <w:numPr>
                <w:ilvl w:val="0"/>
                <w:numId w:val="1"/>
              </w:numPr>
              <w:tabs>
                <w:tab w:val="left" w:pos="826"/>
              </w:tabs>
              <w:spacing w:line="260" w:lineRule="exact"/>
              <w:ind w:left="826" w:hanging="359"/>
            </w:pPr>
            <w:r>
              <w:t>Eigenständige</w:t>
            </w:r>
            <w:r>
              <w:rPr>
                <w:spacing w:val="8"/>
              </w:rPr>
              <w:t xml:space="preserve"> </w:t>
            </w:r>
            <w:r>
              <w:t>Konzeption,</w:t>
            </w:r>
            <w:r>
              <w:rPr>
                <w:spacing w:val="10"/>
              </w:rPr>
              <w:t xml:space="preserve"> </w:t>
            </w:r>
            <w:r>
              <w:t>Präsentation</w:t>
            </w:r>
            <w:r>
              <w:rPr>
                <w:spacing w:val="8"/>
              </w:rPr>
              <w:t xml:space="preserve"> </w:t>
            </w:r>
            <w:r>
              <w:t>und</w:t>
            </w:r>
            <w:r>
              <w:rPr>
                <w:spacing w:val="8"/>
              </w:rPr>
              <w:t xml:space="preserve"> </w:t>
            </w:r>
            <w:r>
              <w:t>Reflexion</w:t>
            </w:r>
            <w:r>
              <w:rPr>
                <w:spacing w:val="10"/>
              </w:rPr>
              <w:t xml:space="preserve"> </w:t>
            </w:r>
            <w:r>
              <w:t>eines</w:t>
            </w:r>
            <w:r>
              <w:rPr>
                <w:spacing w:val="12"/>
              </w:rPr>
              <w:t xml:space="preserve"> </w:t>
            </w:r>
            <w:proofErr w:type="spellStart"/>
            <w:r>
              <w:rPr>
                <w:rFonts w:ascii="Arial" w:hAnsi="Arial"/>
                <w:b/>
              </w:rPr>
              <w:t>Blended</w:t>
            </w:r>
            <w:proofErr w:type="spellEnd"/>
            <w:r>
              <w:rPr>
                <w:rFonts w:ascii="Arial" w:hAnsi="Arial"/>
                <w:b/>
              </w:rPr>
              <w:t>-Learning-Moduls</w:t>
            </w:r>
            <w:r>
              <w:rPr>
                <w:rFonts w:ascii="Arial" w:hAnsi="Arial"/>
                <w:b/>
                <w:spacing w:val="10"/>
              </w:rPr>
              <w:t xml:space="preserve"> </w:t>
            </w:r>
            <w:r>
              <w:rPr>
                <w:spacing w:val="-2"/>
              </w:rPr>
              <w:t>unter</w:t>
            </w:r>
          </w:p>
          <w:p w14:paraId="7E80939E" w14:textId="77777777" w:rsidR="0080082A" w:rsidRDefault="00000000">
            <w:pPr>
              <w:pStyle w:val="TableParagraph"/>
              <w:spacing w:before="125"/>
              <w:ind w:left="827"/>
            </w:pPr>
            <w:r>
              <w:t>Einbezug</w:t>
            </w:r>
            <w:r>
              <w:rPr>
                <w:spacing w:val="-7"/>
              </w:rPr>
              <w:t xml:space="preserve"> </w:t>
            </w:r>
            <w:r>
              <w:t>von</w:t>
            </w:r>
            <w:r>
              <w:rPr>
                <w:spacing w:val="-7"/>
              </w:rPr>
              <w:t xml:space="preserve"> </w:t>
            </w:r>
            <w:r>
              <w:t>digitalen</w:t>
            </w:r>
            <w:r>
              <w:rPr>
                <w:spacing w:val="-7"/>
              </w:rPr>
              <w:t xml:space="preserve"> </w:t>
            </w:r>
            <w:r>
              <w:rPr>
                <w:spacing w:val="-2"/>
              </w:rPr>
              <w:t>Medien.</w:t>
            </w:r>
          </w:p>
        </w:tc>
      </w:tr>
    </w:tbl>
    <w:p w14:paraId="5394013B" w14:textId="77777777" w:rsidR="00E142BF" w:rsidRDefault="00E142BF"/>
    <w:sectPr w:rsidR="00E142BF">
      <w:type w:val="continuous"/>
      <w:pgSz w:w="11910" w:h="16840"/>
      <w:pgMar w:top="480" w:right="16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MT">
    <w:altName w:val="Arial"/>
    <w:panose1 w:val="020B0604020202020204"/>
    <w:charset w:val="01"/>
    <w:family w:val="swiss"/>
    <w:pitch w:val="variable"/>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E6F3C"/>
    <w:multiLevelType w:val="hybridMultilevel"/>
    <w:tmpl w:val="5A54DF94"/>
    <w:lvl w:ilvl="0" w:tplc="F20A0B76">
      <w:numFmt w:val="bullet"/>
      <w:lvlText w:val=""/>
      <w:lvlJc w:val="left"/>
      <w:pPr>
        <w:ind w:left="827" w:hanging="360"/>
      </w:pPr>
      <w:rPr>
        <w:rFonts w:ascii="Symbol" w:eastAsia="Symbol" w:hAnsi="Symbol" w:cs="Symbol" w:hint="default"/>
        <w:b w:val="0"/>
        <w:bCs w:val="0"/>
        <w:i w:val="0"/>
        <w:iCs w:val="0"/>
        <w:spacing w:val="0"/>
        <w:w w:val="100"/>
        <w:sz w:val="22"/>
        <w:szCs w:val="22"/>
        <w:lang w:val="de-DE" w:eastAsia="en-US" w:bidi="ar-SA"/>
      </w:rPr>
    </w:lvl>
    <w:lvl w:ilvl="1" w:tplc="F2124946">
      <w:numFmt w:val="bullet"/>
      <w:lvlText w:val="•"/>
      <w:lvlJc w:val="left"/>
      <w:pPr>
        <w:ind w:left="1769" w:hanging="360"/>
      </w:pPr>
      <w:rPr>
        <w:rFonts w:hint="default"/>
        <w:lang w:val="de-DE" w:eastAsia="en-US" w:bidi="ar-SA"/>
      </w:rPr>
    </w:lvl>
    <w:lvl w:ilvl="2" w:tplc="86FA934C">
      <w:numFmt w:val="bullet"/>
      <w:lvlText w:val="•"/>
      <w:lvlJc w:val="left"/>
      <w:pPr>
        <w:ind w:left="2719" w:hanging="360"/>
      </w:pPr>
      <w:rPr>
        <w:rFonts w:hint="default"/>
        <w:lang w:val="de-DE" w:eastAsia="en-US" w:bidi="ar-SA"/>
      </w:rPr>
    </w:lvl>
    <w:lvl w:ilvl="3" w:tplc="30B6090E">
      <w:numFmt w:val="bullet"/>
      <w:lvlText w:val="•"/>
      <w:lvlJc w:val="left"/>
      <w:pPr>
        <w:ind w:left="3669" w:hanging="360"/>
      </w:pPr>
      <w:rPr>
        <w:rFonts w:hint="default"/>
        <w:lang w:val="de-DE" w:eastAsia="en-US" w:bidi="ar-SA"/>
      </w:rPr>
    </w:lvl>
    <w:lvl w:ilvl="4" w:tplc="A372CEE8">
      <w:numFmt w:val="bullet"/>
      <w:lvlText w:val="•"/>
      <w:lvlJc w:val="left"/>
      <w:pPr>
        <w:ind w:left="4618" w:hanging="360"/>
      </w:pPr>
      <w:rPr>
        <w:rFonts w:hint="default"/>
        <w:lang w:val="de-DE" w:eastAsia="en-US" w:bidi="ar-SA"/>
      </w:rPr>
    </w:lvl>
    <w:lvl w:ilvl="5" w:tplc="456A4262">
      <w:numFmt w:val="bullet"/>
      <w:lvlText w:val="•"/>
      <w:lvlJc w:val="left"/>
      <w:pPr>
        <w:ind w:left="5568" w:hanging="360"/>
      </w:pPr>
      <w:rPr>
        <w:rFonts w:hint="default"/>
        <w:lang w:val="de-DE" w:eastAsia="en-US" w:bidi="ar-SA"/>
      </w:rPr>
    </w:lvl>
    <w:lvl w:ilvl="6" w:tplc="246A6AD2">
      <w:numFmt w:val="bullet"/>
      <w:lvlText w:val="•"/>
      <w:lvlJc w:val="left"/>
      <w:pPr>
        <w:ind w:left="6518" w:hanging="360"/>
      </w:pPr>
      <w:rPr>
        <w:rFonts w:hint="default"/>
        <w:lang w:val="de-DE" w:eastAsia="en-US" w:bidi="ar-SA"/>
      </w:rPr>
    </w:lvl>
    <w:lvl w:ilvl="7" w:tplc="8396A8AE">
      <w:numFmt w:val="bullet"/>
      <w:lvlText w:val="•"/>
      <w:lvlJc w:val="left"/>
      <w:pPr>
        <w:ind w:left="7467" w:hanging="360"/>
      </w:pPr>
      <w:rPr>
        <w:rFonts w:hint="default"/>
        <w:lang w:val="de-DE" w:eastAsia="en-US" w:bidi="ar-SA"/>
      </w:rPr>
    </w:lvl>
    <w:lvl w:ilvl="8" w:tplc="A238D256">
      <w:numFmt w:val="bullet"/>
      <w:lvlText w:val="•"/>
      <w:lvlJc w:val="left"/>
      <w:pPr>
        <w:ind w:left="8417" w:hanging="360"/>
      </w:pPr>
      <w:rPr>
        <w:rFonts w:hint="default"/>
        <w:lang w:val="de-DE" w:eastAsia="en-US" w:bidi="ar-SA"/>
      </w:rPr>
    </w:lvl>
  </w:abstractNum>
  <w:num w:numId="1" w16cid:durableId="1629626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82A"/>
    <w:rsid w:val="000A6972"/>
    <w:rsid w:val="003B605C"/>
    <w:rsid w:val="00435E53"/>
    <w:rsid w:val="004A648F"/>
    <w:rsid w:val="005016C5"/>
    <w:rsid w:val="007446F1"/>
    <w:rsid w:val="0080082A"/>
    <w:rsid w:val="00E142B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55798"/>
  <w15:docId w15:val="{05C7EBA8-A3BA-49DF-BCF4-F5E42F96A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MT" w:eastAsia="Arial MT" w:hAnsi="Arial MT" w:cs="Arial MT"/>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rFonts w:ascii="Arial" w:eastAsia="Arial" w:hAnsi="Arial" w:cs="Arial"/>
      <w:b/>
      <w:bCs/>
    </w:rPr>
  </w:style>
  <w:style w:type="paragraph" w:styleId="Listenabsatz">
    <w:name w:val="List Paragraph"/>
    <w:basedOn w:val="Standard"/>
    <w:uiPriority w:val="1"/>
    <w:qFormat/>
  </w:style>
  <w:style w:type="paragraph" w:customStyle="1" w:styleId="TableParagraph">
    <w:name w:val="Table Paragraph"/>
    <w:basedOn w:val="Standard"/>
    <w:uiPriority w:val="1"/>
    <w:qFormat/>
    <w:pPr>
      <w:ind w:left="10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2120</Characters>
  <Application>Microsoft Office Word</Application>
  <DocSecurity>0</DocSecurity>
  <Lines>17</Lines>
  <Paragraphs>4</Paragraphs>
  <ScaleCrop>false</ScaleCrop>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Mäsch-Donike</dc:creator>
  <cp:lastModifiedBy>Dr. Alexandra Knöll</cp:lastModifiedBy>
  <cp:revision>3</cp:revision>
  <dcterms:created xsi:type="dcterms:W3CDTF">2023-10-26T17:44:00Z</dcterms:created>
  <dcterms:modified xsi:type="dcterms:W3CDTF">2023-10-26T17:45:00Z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2022-04-26T00:00:00Z</vt:filetime>
  </property>
  <property fmtid="{D5CDD505-2E9C-101B-9397-08002B2CF9AE}" pid="3" name="Creator">
    <vt:lpwstr>Microsoft® Word 2019</vt:lpwstr>
  </property>
  <property fmtid="{D5CDD505-2E9C-101B-9397-08002B2CF9AE}" pid="4" name="LastSaved">
    <vt:filetime>2023-10-23T00:00:00Z</vt:filetime>
  </property>
  <property fmtid="{D5CDD505-2E9C-101B-9397-08002B2CF9AE}" pid="5" name="Producer">
    <vt:lpwstr>Microsoft® Word 2019</vt:lpwstr>
  </property>
</Properties>
</file>